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02F" w14:textId="7EE8C1B2" w:rsidR="001841FA" w:rsidRPr="00E33A5C" w:rsidRDefault="001841FA" w:rsidP="00E33A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</w:rPr>
      </w:pPr>
      <w:r w:rsidRPr="00E33A5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>Business Impact Estimate</w:t>
      </w:r>
    </w:p>
    <w:p w14:paraId="56353939" w14:textId="10A185A4" w:rsidR="001841FA" w:rsidRPr="00E33A5C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rdinance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title/reference:</w:t>
      </w:r>
    </w:p>
    <w:p w14:paraId="29797B6E" w14:textId="0F56871F" w:rsidR="00E33A5C" w:rsidRDefault="00E33A5C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A5C">
        <w:rPr>
          <w:rFonts w:ascii="Times New Roman" w:hAnsi="Times New Roman" w:cs="Times New Roman"/>
          <w:b/>
          <w:bCs/>
          <w:color w:val="000000" w:themeColor="text1"/>
        </w:rPr>
        <w:t xml:space="preserve">ORDINANCE NUMBER </w:t>
      </w:r>
      <w:r w:rsidR="00886740">
        <w:rPr>
          <w:rFonts w:ascii="Times New Roman" w:hAnsi="Times New Roman" w:cs="Times New Roman"/>
          <w:b/>
          <w:bCs/>
          <w:color w:val="000000" w:themeColor="text1"/>
        </w:rPr>
        <w:t>2024-</w:t>
      </w:r>
      <w:r w:rsidR="00EB25CE">
        <w:rPr>
          <w:rFonts w:ascii="Times New Roman" w:hAnsi="Times New Roman" w:cs="Times New Roman"/>
          <w:b/>
          <w:bCs/>
          <w:color w:val="000000" w:themeColor="text1"/>
        </w:rPr>
        <w:t>02</w:t>
      </w:r>
    </w:p>
    <w:p w14:paraId="5ACCD867" w14:textId="68D37B61" w:rsidR="00B0330F" w:rsidRPr="00886740" w:rsidRDefault="00886740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886740">
        <w:rPr>
          <w:rFonts w:ascii="Times New Roman" w:hAnsi="Times New Roman" w:cs="Times New Roman"/>
          <w:bCs/>
          <w:sz w:val="24"/>
          <w:szCs w:val="24"/>
        </w:rPr>
        <w:t>ORDINANCE OF THE CITY OF HIGH SPRINGS, FLORIDA, REVISING REQUIREMENTS OF INDIVIDUALS OPERATING GOLF CARTS ON CITY STREETS WITHIN THE CITY OF HIGH SPRINGS; REVISING SECTION 74-6 OF THE CITY OF HIGH SPRINGS CODE OF ORDINANCES BY AMENDING THE DEFINITION OF OPERATOR; REPEALING ALL ORDINANCES IN CONFLICT AND PROVIDING AN EFFECTIVE DATE</w:t>
      </w:r>
    </w:p>
    <w:p w14:paraId="2335E3A9" w14:textId="77777777" w:rsidR="001841FA" w:rsidRPr="00E33A5C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B8489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C87A2C" w14:textId="72D00CD8" w:rsidR="001841FA" w:rsidRPr="00E33A5C" w:rsidRDefault="005C13A0" w:rsidP="00D17C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Business Impact Estimate is provided 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accordance with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section 166.041(4), F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lorida Statutes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one or more boxes are checked below, this means t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of the view that 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business impact estimate is not required by state law</w:t>
      </w:r>
      <w:r w:rsidR="00F07C3E" w:rsidRPr="00E33A5C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ordinance, but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C3E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is, nevertheless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providing th</w:t>
      </w:r>
      <w:r w:rsidR="00F07C3E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bookmarkStart w:id="0" w:name="_Hlk138775458"/>
    <w:p w14:paraId="6E03D43B" w14:textId="0E545B68" w:rsidR="001841FA" w:rsidRPr="00E33A5C" w:rsidRDefault="00C916B3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Segoe UI Symbol" w:eastAsia="MS Gothic" w:hAnsi="Segoe UI Symbol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5842" wp14:editId="27F0822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527800039" name="Flowchart: Summing Junc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SummingJuncti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E3DC979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" o:spid="_x0000_s1026" type="#_x0000_t123" style="position:absolute;margin-left:0;margin-top:1.45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" filled="f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1841FA" w:rsidRPr="00E33A5C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for compliance with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ederal or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tate law or regulation;</w:t>
      </w:r>
      <w:bookmarkEnd w:id="0"/>
    </w:p>
    <w:p w14:paraId="23F1CB01" w14:textId="6CFC2532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relates to the issuance or refinancing of debt;</w:t>
      </w:r>
    </w:p>
    <w:p w14:paraId="0E05AAAD" w14:textId="4CF2E447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1B1BFAC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to implement a contract or an agreement, including, but not limited to, any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ederal,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tate, local, or private grant or other financial assistance accepted by the 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municipal government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EFBAA9" w14:textId="0082CC57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an emergency ordinance;</w:t>
      </w:r>
    </w:p>
    <w:p w14:paraId="19D8C00F" w14:textId="77777777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The ordinance relates to procurement; or</w:t>
      </w:r>
    </w:p>
    <w:p w14:paraId="2B4CD10C" w14:textId="70E56AE0" w:rsidR="001841FA" w:rsidRPr="00E33A5C" w:rsidRDefault="00C57E8F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enacted to implement the following:</w:t>
      </w:r>
    </w:p>
    <w:p w14:paraId="3CFC8BC8" w14:textId="127B9CD3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II of Chapter 163,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Florida Statutes,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Sections 190.005 and 190.046,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Florida Statutes,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community development districts;</w:t>
      </w:r>
    </w:p>
    <w:p w14:paraId="5DA2D3BD" w14:textId="3DA191D6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553.73,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Florida Statutes,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to the Florida Building Code; or</w:t>
      </w:r>
    </w:p>
    <w:p w14:paraId="4AA1EF86" w14:textId="01BCAC9B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 633.202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Florida Statutes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18A31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F959F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8D14A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B89075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18DB66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F0531A" w14:textId="77777777" w:rsidR="00E33A5C" w:rsidRP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10A7D" w14:textId="02F64F35" w:rsidR="00246E24" w:rsidRPr="00E33A5C" w:rsidRDefault="00246E24" w:rsidP="00E33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In accordance with the provisions of controlling law, even notwithstanding the fact that an exemption noted above may apply, 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hereby publishes the following information:</w:t>
      </w:r>
    </w:p>
    <w:p w14:paraId="25814F97" w14:textId="77777777" w:rsidR="00246E24" w:rsidRPr="00E33A5C" w:rsidRDefault="00246E24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67CF7B" w14:textId="02537822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Summary of the proposed ordinance (must include 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statement of the public purpose, such as serving the public health, safety, morals and welfare):</w:t>
      </w:r>
    </w:p>
    <w:p w14:paraId="5C8F88EF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851E35" w14:textId="2F21F614" w:rsidR="001841FA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Ordinance </w:t>
      </w:r>
      <w:r w:rsidR="00025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2024- </w:t>
      </w:r>
      <w:r w:rsidR="00C5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025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updates the definition of operator to comply with Section 316.212, Florida Statutes.</w:t>
      </w:r>
    </w:p>
    <w:p w14:paraId="52E48183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496984" w14:textId="3F1DCE8B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6128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stimate of </w:t>
      </w:r>
      <w:r w:rsidR="0046128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 economic impact of the proposed ordinance on private, for-profit businesses in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if any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67C9F4F" w14:textId="0DA02494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An estimate of direct compliance costs that businesses may reasonably incur;</w:t>
      </w:r>
    </w:p>
    <w:p w14:paraId="02B4CDDB" w14:textId="57346447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Any new charge or fee imposed by the proposed ordinance or for which businesses will be financially responsible; and</w:t>
      </w:r>
    </w:p>
    <w:p w14:paraId="1C7DB3DB" w14:textId="6C39160D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(c) An estimate of 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City’s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regulatory costs, including estimated revenues from any new charges or fees to cover such costs.</w:t>
      </w:r>
    </w:p>
    <w:p w14:paraId="5261A825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C730F" w14:textId="040CF858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no direct compliance costs that businesses may reasonably incur. </w:t>
      </w:r>
    </w:p>
    <w:p w14:paraId="12870CB9" w14:textId="085C7683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no new charge or fee imposed by the proposed ordinance. </w:t>
      </w:r>
    </w:p>
    <w:p w14:paraId="1EEC72D1" w14:textId="4BE1BD8A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no anticipated regulatory costs associated with this ordinance. </w:t>
      </w:r>
    </w:p>
    <w:p w14:paraId="077C8051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ED66CB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8D42E1" w14:textId="51ED70D0" w:rsidR="001841FA" w:rsidRPr="00E33A5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2FA3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faith 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bookmarkEnd w:id="1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44B7000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F1807C" w14:textId="293B47B7" w:rsidR="00E33A5C" w:rsidRPr="00E33A5C" w:rsidRDefault="00E33A5C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Zero.</w:t>
      </w:r>
    </w:p>
    <w:p w14:paraId="0D14AE08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53076" w14:textId="77777777" w:rsidR="001841FA" w:rsidRPr="00E33A5C" w:rsidRDefault="001841FA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466A0" w14:textId="32BE390A" w:rsidR="00BB266C" w:rsidRPr="00E33A5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Additional information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governing body deems useful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(if any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69010AAA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1A33B7" w14:textId="1D5F9B4F" w:rsidR="00E33A5C" w:rsidRPr="00E33A5C" w:rsidRDefault="00E33A5C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ordinance has no fiscal impact</w:t>
      </w:r>
      <w:r w:rsidR="00025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030F98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94CCF" w14:textId="6FB2D924" w:rsidR="00ED44D5" w:rsidRPr="00E33A5C" w:rsidRDefault="00CC4F4B" w:rsidP="00D26756">
      <w:pPr>
        <w:rPr>
          <w:rFonts w:ascii="Times New Roman" w:hAnsi="Times New Roman" w:cs="Times New Roman"/>
          <w:color w:val="000000" w:themeColor="text1"/>
        </w:rPr>
      </w:pPr>
      <w:r w:rsidRPr="00E33A5C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D44D5" w:rsidRPr="00E33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829C" w14:textId="77777777" w:rsidR="00B639E4" w:rsidRDefault="00B639E4" w:rsidP="003B254C">
      <w:pPr>
        <w:spacing w:after="0" w:line="240" w:lineRule="auto"/>
      </w:pPr>
      <w:r>
        <w:separator/>
      </w:r>
    </w:p>
  </w:endnote>
  <w:endnote w:type="continuationSeparator" w:id="0">
    <w:p w14:paraId="03276A9C" w14:textId="77777777" w:rsidR="00B639E4" w:rsidRDefault="00B639E4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2819" w14:textId="77777777" w:rsidR="00B639E4" w:rsidRDefault="00B639E4" w:rsidP="003B254C">
      <w:pPr>
        <w:spacing w:after="0" w:line="240" w:lineRule="auto"/>
      </w:pPr>
      <w:r>
        <w:separator/>
      </w:r>
    </w:p>
  </w:footnote>
  <w:footnote w:type="continuationSeparator" w:id="0">
    <w:p w14:paraId="75C9CB27" w14:textId="77777777" w:rsidR="00B639E4" w:rsidRDefault="00B639E4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02552C"/>
    <w:rsid w:val="000916C0"/>
    <w:rsid w:val="000F3A4F"/>
    <w:rsid w:val="00104474"/>
    <w:rsid w:val="00115CC0"/>
    <w:rsid w:val="001812BB"/>
    <w:rsid w:val="001841FA"/>
    <w:rsid w:val="001B00E1"/>
    <w:rsid w:val="001F6D58"/>
    <w:rsid w:val="00246E24"/>
    <w:rsid w:val="002973D1"/>
    <w:rsid w:val="002D5504"/>
    <w:rsid w:val="00317989"/>
    <w:rsid w:val="0034464C"/>
    <w:rsid w:val="00362E0F"/>
    <w:rsid w:val="003A3148"/>
    <w:rsid w:val="003B254C"/>
    <w:rsid w:val="0046128F"/>
    <w:rsid w:val="004A2FA3"/>
    <w:rsid w:val="00593A02"/>
    <w:rsid w:val="005C13A0"/>
    <w:rsid w:val="006343BB"/>
    <w:rsid w:val="006510A4"/>
    <w:rsid w:val="00886740"/>
    <w:rsid w:val="008F3D0E"/>
    <w:rsid w:val="00965A46"/>
    <w:rsid w:val="009E5884"/>
    <w:rsid w:val="00A60D7E"/>
    <w:rsid w:val="00AF437F"/>
    <w:rsid w:val="00B0330F"/>
    <w:rsid w:val="00B609BC"/>
    <w:rsid w:val="00B639E4"/>
    <w:rsid w:val="00BB266C"/>
    <w:rsid w:val="00BD2946"/>
    <w:rsid w:val="00C57E8F"/>
    <w:rsid w:val="00C8169B"/>
    <w:rsid w:val="00C916B3"/>
    <w:rsid w:val="00CC4F4B"/>
    <w:rsid w:val="00CC77D5"/>
    <w:rsid w:val="00CD4DA1"/>
    <w:rsid w:val="00D17CDA"/>
    <w:rsid w:val="00D26756"/>
    <w:rsid w:val="00D579A9"/>
    <w:rsid w:val="00E33A5C"/>
    <w:rsid w:val="00E957B0"/>
    <w:rsid w:val="00EB25CE"/>
    <w:rsid w:val="00ED44D5"/>
    <w:rsid w:val="00F07C3E"/>
    <w:rsid w:val="00F6741E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2024-03-14T15:27:00Z</dcterms:created>
  <dcterms:modified xsi:type="dcterms:W3CDTF">2024-03-14T15:27:00Z</dcterms:modified>
</cp:coreProperties>
</file>